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bottom w:val="single" w:color="CCCCCC" w:sz="6"/>
        </w:pBdr>
        <w:tabs>
          <w:tab w:val="left" w:pos="9026"/>
        </w:tabs>
        <w:bidi/>
        <w:spacing w:after="300"/>
      </w:pPr>
      <w:r>
        <w:rPr>
          <w:b/>
          <w:bCs/>
          <w:sz w:val="22"/>
          <w:szCs w:val="22"/>
        </w:rPr>
        <w:t xml:space="preserve">CreedRoomz</w:t>
      </w:r>
      <w:r>
        <w:rPr>
          <w:rFonts w:ascii="Vazirmatn" w:cs="Vazirmatn" w:eastAsia="Vazirmatn" w:hAnsi="Vazirmatn"/>
          <w:i/>
          <w:iCs/>
          <w:sz w:val="20"/>
          <w:szCs w:val="20"/>
          <w:rtl/>
        </w:rPr>
        <w:t xml:space="preserve">	محرمانه</w:t>
      </w:r>
    </w:p>
    <w:p>
      <w:pPr>
        <w:bidi/>
        <w:spacing w:after="60"/>
        <w:jc w:val="right"/>
      </w:pPr>
      <w:r>
        <w:rPr>
          <w:rFonts w:ascii="Vazirmatn" w:cs="Vazirmatn" w:eastAsia="Vazirmatn" w:hAnsi="Vazirmatn"/>
          <w:b/>
          <w:bCs/>
          <w:sz w:val="32"/>
          <w:szCs w:val="32"/>
          <w:rtl/>
        </w:rPr>
        <w:t xml:space="preserve">شرایط و ضوابط تورنمنت</w:t>
      </w:r>
    </w:p>
    <w:p>
      <w:pPr>
        <w:bidi/>
        <w:spacing w:after="240"/>
        <w:jc w:val="right"/>
      </w:pPr>
      <w:r>
        <w:rPr>
          <w:rFonts w:ascii="Vazirmatn" w:cs="Vazirmatn" w:eastAsia="Vazirmatn" w:hAnsi="Vazirmatn"/>
          <w:i/>
          <w:iCs/>
          <w:sz w:val="24"/>
          <w:szCs w:val="24"/>
          <w:rtl/>
        </w:rPr>
        <w:t xml:space="preserve">پوکر کرالی — ترکیه</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3400"/>
        <w:gridCol w:w="5950"/>
      </w:tblGrid>
      <w:tr>
        <w:tc>
          <w:tcPr>
            <w:tcW w:type="dxa" w:w="3400"/>
            <w:shd w:fill="F2F2F2" w:val="clear"/>
            <w:tcMar>
              <w:top w:type="dxa" w:w="80"/>
              <w:left w:type="dxa" w:w="120"/>
              <w:bottom w:type="dxa" w:w="80"/>
              <w:right w:type="dxa" w:w="120"/>
            </w:tcMar>
            <w:vAlign w:val="center"/>
          </w:tcPr>
          <w:p>
            <w:pPr>
              <w:bidi/>
              <w:jc w:val="right"/>
            </w:pPr>
            <w:r>
              <w:rPr>
                <w:rFonts w:ascii="Vazirmatn" w:cs="Vazirmatn" w:eastAsia="Vazirmatn" w:hAnsi="Vazirmatn"/>
                <w:b/>
                <w:bCs/>
                <w:sz w:val="20"/>
                <w:szCs w:val="20"/>
                <w:rtl/>
              </w:rPr>
              <w:t xml:space="preserve">نام تورنمنت</w:t>
            </w:r>
          </w:p>
        </w:tc>
        <w:tc>
          <w:tcPr>
            <w:tcW w:type="dxa" w:w="5950"/>
            <w:tcMar>
              <w:top w:type="dxa" w:w="80"/>
              <w:left w:type="dxa" w:w="120"/>
              <w:bottom w:type="dxa" w:w="80"/>
              <w:right w:type="dxa" w:w="120"/>
            </w:tcMar>
            <w:vAlign w:val="center"/>
          </w:tcPr>
          <w:p>
            <w:pPr>
              <w:bidi/>
              <w:jc w:val="right"/>
            </w:pPr>
            <w:r>
              <w:rPr>
                <w:rFonts w:ascii="Vazirmatn" w:cs="Vazirmatn" w:eastAsia="Vazirmatn" w:hAnsi="Vazirmatn"/>
                <w:sz w:val="20"/>
                <w:szCs w:val="20"/>
                <w:rtl/>
              </w:rPr>
              <w:t xml:space="preserve">پوکر کرالی</w:t>
            </w:r>
          </w:p>
        </w:tc>
      </w:tr>
      <w:tr>
        <w:tc>
          <w:tcPr>
            <w:tcW w:type="dxa" w:w="3400"/>
            <w:shd w:fill="F2F2F2" w:val="clear"/>
            <w:tcMar>
              <w:top w:type="dxa" w:w="80"/>
              <w:left w:type="dxa" w:w="120"/>
              <w:bottom w:type="dxa" w:w="80"/>
              <w:right w:type="dxa" w:w="120"/>
            </w:tcMar>
            <w:vAlign w:val="center"/>
          </w:tcPr>
          <w:p>
            <w:pPr>
              <w:bidi/>
              <w:jc w:val="right"/>
            </w:pPr>
            <w:r>
              <w:rPr>
                <w:rFonts w:ascii="Vazirmatn" w:cs="Vazirmatn" w:eastAsia="Vazirmatn" w:hAnsi="Vazirmatn"/>
                <w:b/>
                <w:bCs/>
                <w:sz w:val="20"/>
                <w:szCs w:val="20"/>
                <w:rtl/>
              </w:rPr>
              <w:t xml:space="preserve">منطقه</w:t>
            </w:r>
          </w:p>
        </w:tc>
        <w:tc>
          <w:tcPr>
            <w:tcW w:type="dxa" w:w="5950"/>
            <w:tcMar>
              <w:top w:type="dxa" w:w="80"/>
              <w:left w:type="dxa" w:w="120"/>
              <w:bottom w:type="dxa" w:w="80"/>
              <w:right w:type="dxa" w:w="120"/>
            </w:tcMar>
            <w:vAlign w:val="center"/>
          </w:tcPr>
          <w:p>
            <w:pPr>
              <w:bidi/>
              <w:jc w:val="right"/>
            </w:pPr>
            <w:r>
              <w:rPr>
                <w:rFonts w:ascii="Vazirmatn" w:cs="Vazirmatn" w:eastAsia="Vazirmatn" w:hAnsi="Vazirmatn"/>
                <w:sz w:val="20"/>
                <w:szCs w:val="20"/>
                <w:rtl/>
              </w:rPr>
              <w:t xml:space="preserve">ترکیه</w:t>
            </w:r>
          </w:p>
        </w:tc>
      </w:tr>
      <w:tr>
        <w:tc>
          <w:tcPr>
            <w:tcW w:type="dxa" w:w="3400"/>
            <w:shd w:fill="F2F2F2" w:val="clear"/>
            <w:tcMar>
              <w:top w:type="dxa" w:w="80"/>
              <w:left w:type="dxa" w:w="120"/>
              <w:bottom w:type="dxa" w:w="80"/>
              <w:right w:type="dxa" w:w="120"/>
            </w:tcMar>
            <w:vAlign w:val="center"/>
          </w:tcPr>
          <w:p>
            <w:pPr>
              <w:bidi/>
              <w:jc w:val="right"/>
            </w:pPr>
            <w:r>
              <w:rPr>
                <w:rFonts w:ascii="Vazirmatn" w:cs="Vazirmatn" w:eastAsia="Vazirmatn" w:hAnsi="Vazirmatn"/>
                <w:b/>
                <w:bCs/>
                <w:sz w:val="20"/>
                <w:szCs w:val="20"/>
                <w:rtl/>
              </w:rPr>
              <w:t xml:space="preserve">بازی واجد شرایط</w:t>
            </w:r>
          </w:p>
        </w:tc>
        <w:tc>
          <w:tcPr>
            <w:tcW w:type="dxa" w:w="5950"/>
            <w:tcMar>
              <w:top w:type="dxa" w:w="80"/>
              <w:left w:type="dxa" w:w="120"/>
              <w:bottom w:type="dxa" w:w="80"/>
              <w:right w:type="dxa" w:w="120"/>
            </w:tcMar>
            <w:vAlign w:val="center"/>
          </w:tcPr>
          <w:p>
            <w:pPr>
              <w:bidi/>
              <w:jc w:val="right"/>
            </w:pPr>
            <w:r>
              <w:rPr>
                <w:rFonts w:ascii="Vazirmatn" w:cs="Vazirmatn" w:eastAsia="Vazirmatn" w:hAnsi="Vazirmatn"/>
                <w:sz w:val="20"/>
                <w:szCs w:val="20"/>
                <w:rtl/>
              </w:rPr>
              <w:t xml:space="preserve">روسی پوکر (تکی)</w:t>
            </w:r>
          </w:p>
        </w:tc>
      </w:tr>
      <w:tr>
        <w:tc>
          <w:tcPr>
            <w:tcW w:type="dxa" w:w="3400"/>
            <w:shd w:fill="F2F2F2" w:val="clear"/>
            <w:tcMar>
              <w:top w:type="dxa" w:w="80"/>
              <w:left w:type="dxa" w:w="120"/>
              <w:bottom w:type="dxa" w:w="80"/>
              <w:right w:type="dxa" w:w="120"/>
            </w:tcMar>
            <w:vAlign w:val="center"/>
          </w:tcPr>
          <w:p>
            <w:pPr>
              <w:bidi/>
              <w:jc w:val="right"/>
            </w:pPr>
            <w:r>
              <w:rPr>
                <w:rFonts w:ascii="Vazirmatn" w:cs="Vazirmatn" w:eastAsia="Vazirmatn" w:hAnsi="Vazirmatn"/>
                <w:b/>
                <w:bCs/>
                <w:sz w:val="20"/>
                <w:szCs w:val="20"/>
                <w:rtl/>
              </w:rPr>
              <w:t xml:space="preserve">مدت زمان</w:t>
            </w:r>
          </w:p>
        </w:tc>
        <w:tc>
          <w:tcPr>
            <w:tcW w:type="dxa" w:w="5950"/>
            <w:tcMar>
              <w:top w:type="dxa" w:w="80"/>
              <w:left w:type="dxa" w:w="120"/>
              <w:bottom w:type="dxa" w:w="80"/>
              <w:right w:type="dxa" w:w="120"/>
            </w:tcMar>
            <w:vAlign w:val="center"/>
          </w:tcPr>
          <w:p>
            <w:pPr>
              <w:bidi/>
              <w:jc w:val="right"/>
            </w:pPr>
            <w:r>
              <w:rPr>
                <w:rFonts w:ascii="Vazirmatn" w:cs="Vazirmatn" w:eastAsia="Vazirmatn" w:hAnsi="Vazirmatn"/>
                <w:sz w:val="20"/>
                <w:szCs w:val="20"/>
                <w:rtl/>
              </w:rPr>
              <w:t xml:space="preserve">۶ ژوئیه ۲۰۲۶ – ۴ اوت ۲۰۲۶ (۳۰ روز)</w:t>
            </w:r>
          </w:p>
        </w:tc>
      </w:tr>
      <w:tr>
        <w:tc>
          <w:tcPr>
            <w:tcW w:type="dxa" w:w="3400"/>
            <w:shd w:fill="F2F2F2" w:val="clear"/>
            <w:tcMar>
              <w:top w:type="dxa" w:w="80"/>
              <w:left w:type="dxa" w:w="120"/>
              <w:bottom w:type="dxa" w:w="80"/>
              <w:right w:type="dxa" w:w="120"/>
            </w:tcMar>
            <w:vAlign w:val="center"/>
          </w:tcPr>
          <w:p>
            <w:pPr>
              <w:bidi/>
              <w:jc w:val="right"/>
            </w:pPr>
            <w:r>
              <w:rPr>
                <w:rFonts w:ascii="Vazirmatn" w:cs="Vazirmatn" w:eastAsia="Vazirmatn" w:hAnsi="Vazirmatn"/>
                <w:b/>
                <w:bCs/>
                <w:sz w:val="20"/>
                <w:szCs w:val="20"/>
                <w:rtl/>
              </w:rPr>
              <w:t xml:space="preserve">استخر جایزه</w:t>
            </w:r>
          </w:p>
        </w:tc>
        <w:tc>
          <w:tcPr>
            <w:tcW w:type="dxa" w:w="5950"/>
            <w:tcMar>
              <w:top w:type="dxa" w:w="80"/>
              <w:left w:type="dxa" w:w="120"/>
              <w:bottom w:type="dxa" w:w="80"/>
              <w:right w:type="dxa" w:w="120"/>
            </w:tcMar>
            <w:vAlign w:val="center"/>
          </w:tcPr>
          <w:p>
            <w:pPr>
              <w:bidi/>
              <w:jc w:val="right"/>
            </w:pPr>
            <w:r>
              <w:rPr>
                <w:rFonts w:ascii="Vazirmatn" w:cs="Vazirmatn" w:eastAsia="Vazirmatn" w:hAnsi="Vazirmatn"/>
                <w:sz w:val="20"/>
                <w:szCs w:val="20"/>
                <w:rtl/>
              </w:rPr>
              <w:t xml:space="preserve">استخر جایزه نقدی</w:t>
            </w:r>
          </w:p>
        </w:tc>
      </w:tr>
      <w:tr>
        <w:tc>
          <w:tcPr>
            <w:tcW w:type="dxa" w:w="3400"/>
            <w:shd w:fill="F2F2F2" w:val="clear"/>
            <w:tcMar>
              <w:top w:type="dxa" w:w="80"/>
              <w:left w:type="dxa" w:w="120"/>
              <w:bottom w:type="dxa" w:w="80"/>
              <w:right w:type="dxa" w:w="120"/>
            </w:tcMar>
            <w:vAlign w:val="center"/>
          </w:tcPr>
          <w:p>
            <w:pPr>
              <w:bidi/>
              <w:jc w:val="right"/>
            </w:pPr>
            <w:r>
              <w:rPr>
                <w:rFonts w:ascii="Vazirmatn" w:cs="Vazirmatn" w:eastAsia="Vazirmatn" w:hAnsi="Vazirmatn"/>
                <w:b/>
                <w:bCs/>
                <w:sz w:val="20"/>
                <w:szCs w:val="20"/>
                <w:rtl/>
              </w:rPr>
              <w:t xml:space="preserve">مجموع برندگان</w:t>
            </w:r>
          </w:p>
        </w:tc>
        <w:tc>
          <w:tcPr>
            <w:tcW w:type="dxa" w:w="5950"/>
            <w:tcMar>
              <w:top w:type="dxa" w:w="80"/>
              <w:left w:type="dxa" w:w="120"/>
              <w:bottom w:type="dxa" w:w="80"/>
              <w:right w:type="dxa" w:w="120"/>
            </w:tcMar>
            <w:vAlign w:val="center"/>
          </w:tcPr>
          <w:p>
            <w:pPr>
              <w:bidi/>
              <w:jc w:val="right"/>
            </w:pPr>
            <w:r>
              <w:rPr>
                <w:rFonts w:ascii="Vazirmatn" w:cs="Vazirmatn" w:eastAsia="Vazirmatn" w:hAnsi="Vazirmatn"/>
                <w:sz w:val="20"/>
                <w:szCs w:val="20"/>
                <w:rtl/>
              </w:rPr>
              <w:t xml:space="preserve">۲۰۰</w:t>
            </w:r>
          </w:p>
        </w:tc>
      </w:tr>
      <w:tr>
        <w:tc>
          <w:tcPr>
            <w:tcW w:type="dxa" w:w="3400"/>
            <w:shd w:fill="F2F2F2" w:val="clear"/>
            <w:tcMar>
              <w:top w:type="dxa" w:w="80"/>
              <w:left w:type="dxa" w:w="120"/>
              <w:bottom w:type="dxa" w:w="80"/>
              <w:right w:type="dxa" w:w="120"/>
            </w:tcMar>
            <w:vAlign w:val="center"/>
          </w:tcPr>
          <w:p>
            <w:pPr>
              <w:bidi/>
              <w:jc w:val="right"/>
            </w:pPr>
            <w:r>
              <w:rPr>
                <w:rFonts w:ascii="Vazirmatn" w:cs="Vazirmatn" w:eastAsia="Vazirmatn" w:hAnsi="Vazirmatn"/>
                <w:b/>
                <w:bCs/>
                <w:sz w:val="20"/>
                <w:szCs w:val="20"/>
                <w:rtl/>
              </w:rPr>
              <w:t xml:space="preserve">حداقل شرط لازم</w:t>
            </w:r>
          </w:p>
        </w:tc>
        <w:tc>
          <w:tcPr>
            <w:tcW w:type="dxa" w:w="5950"/>
            <w:tcMar>
              <w:top w:type="dxa" w:w="80"/>
              <w:left w:type="dxa" w:w="120"/>
              <w:bottom w:type="dxa" w:w="80"/>
              <w:right w:type="dxa" w:w="120"/>
            </w:tcMar>
            <w:vAlign w:val="center"/>
          </w:tcPr>
          <w:p>
            <w:pPr>
              <w:bidi/>
              <w:jc w:val="right"/>
            </w:pPr>
            <w:r>
              <w:rPr>
                <w:rFonts w:ascii="Vazirmatn" w:cs="Vazirmatn" w:eastAsia="Vazirmatn" w:hAnsi="Vazirmatn"/>
                <w:sz w:val="20"/>
                <w:szCs w:val="20"/>
                <w:rtl/>
              </w:rPr>
              <w:t xml:space="preserve">0.10 در هر دور</w:t>
            </w:r>
          </w:p>
        </w:tc>
      </w:tr>
      <w:tr>
        <w:tc>
          <w:tcPr>
            <w:tcW w:type="dxa" w:w="3400"/>
            <w:shd w:fill="F2F2F2" w:val="clear"/>
            <w:tcMar>
              <w:top w:type="dxa" w:w="80"/>
              <w:left w:type="dxa" w:w="120"/>
              <w:bottom w:type="dxa" w:w="80"/>
              <w:right w:type="dxa" w:w="120"/>
            </w:tcMar>
            <w:vAlign w:val="center"/>
          </w:tcPr>
          <w:p>
            <w:pPr>
              <w:bidi/>
              <w:jc w:val="right"/>
            </w:pPr>
            <w:r>
              <w:rPr>
                <w:rFonts w:ascii="Vazirmatn" w:cs="Vazirmatn" w:eastAsia="Vazirmatn" w:hAnsi="Vazirmatn"/>
                <w:b/>
                <w:bCs/>
                <w:sz w:val="20"/>
                <w:szCs w:val="20"/>
                <w:rtl/>
              </w:rPr>
              <w:t xml:space="preserve">حداقل ضریب لازم</w:t>
            </w:r>
          </w:p>
        </w:tc>
        <w:tc>
          <w:tcPr>
            <w:tcW w:type="dxa" w:w="5950"/>
            <w:tcMar>
              <w:top w:type="dxa" w:w="80"/>
              <w:left w:type="dxa" w:w="120"/>
              <w:bottom w:type="dxa" w:w="80"/>
              <w:right w:type="dxa" w:w="120"/>
            </w:tcMar>
            <w:vAlign w:val="center"/>
          </w:tcPr>
          <w:p>
            <w:pPr>
              <w:bidi/>
              <w:jc w:val="right"/>
            </w:pPr>
            <w:r>
              <w:rPr>
                <w:rFonts w:ascii="Vazirmatn" w:cs="Vazirmatn" w:eastAsia="Vazirmatn" w:hAnsi="Vazirmatn"/>
                <w:sz w:val="20"/>
                <w:szCs w:val="20"/>
                <w:rtl/>
              </w:rPr>
              <w:t xml:space="preserve">۱.۳</w:t>
            </w:r>
          </w:p>
        </w:tc>
      </w:tr>
      <w:tr>
        <w:tc>
          <w:tcPr>
            <w:tcW w:type="dxa" w:w="3400"/>
            <w:shd w:fill="F2F2F2" w:val="clear"/>
            <w:tcMar>
              <w:top w:type="dxa" w:w="80"/>
              <w:left w:type="dxa" w:w="120"/>
              <w:bottom w:type="dxa" w:w="80"/>
              <w:right w:type="dxa" w:w="120"/>
            </w:tcMar>
            <w:vAlign w:val="center"/>
          </w:tcPr>
          <w:p>
            <w:pPr>
              <w:bidi/>
              <w:jc w:val="right"/>
            </w:pPr>
            <w:r>
              <w:rPr>
                <w:rFonts w:ascii="Vazirmatn" w:cs="Vazirmatn" w:eastAsia="Vazirmatn" w:hAnsi="Vazirmatn"/>
                <w:b/>
                <w:bCs/>
                <w:sz w:val="20"/>
                <w:szCs w:val="20"/>
                <w:rtl/>
              </w:rPr>
              <w:t xml:space="preserve">سقف حداکثر دور</w:t>
            </w:r>
          </w:p>
        </w:tc>
        <w:tc>
          <w:tcPr>
            <w:tcW w:type="dxa" w:w="5950"/>
            <w:tcMar>
              <w:top w:type="dxa" w:w="80"/>
              <w:left w:type="dxa" w:w="120"/>
              <w:bottom w:type="dxa" w:w="80"/>
              <w:right w:type="dxa" w:w="120"/>
            </w:tcMar>
            <w:vAlign w:val="center"/>
          </w:tcPr>
          <w:p>
            <w:pPr>
              <w:bidi/>
              <w:jc w:val="right"/>
            </w:pPr>
            <w:r>
              <w:rPr>
                <w:rFonts w:ascii="Vazirmatn" w:cs="Vazirmatn" w:eastAsia="Vazirmatn" w:hAnsi="Vazirmatn"/>
                <w:sz w:val="20"/>
                <w:szCs w:val="20"/>
                <w:rtl/>
              </w:rPr>
              <w:t xml:space="preserve">مجموعاً ۵,۴۰۰ دور</w:t>
            </w:r>
          </w:p>
        </w:tc>
      </w:tr>
    </w:tbl>
    <w:p>
      <w:pPr>
        <w:bidi/>
        <w:spacing w:after="120" w:before="300"/>
        <w:jc w:val="right"/>
      </w:pPr>
      <w:r>
        <w:rPr>
          <w:rFonts w:ascii="Vazirmatn" w:cs="Vazirmatn" w:eastAsia="Vazirmatn" w:hAnsi="Vazirmatn"/>
          <w:b/>
          <w:bCs/>
          <w:sz w:val="24"/>
          <w:szCs w:val="24"/>
          <w:rtl/>
        </w:rPr>
        <w:t xml:space="preserve">۱. بررسی اجمالی پروموشن</w:t>
      </w:r>
    </w:p>
    <w:p>
      <w:pPr>
        <w:bidi/>
        <w:spacing w:after="120"/>
        <w:jc w:val="right"/>
      </w:pPr>
      <w:r>
        <w:rPr>
          <w:rFonts w:ascii="Vazirmatn" w:cs="Vazirmatn" w:eastAsia="Vazirmatn" w:hAnsi="Vazirmatn"/>
          <w:sz w:val="21"/>
          <w:szCs w:val="21"/>
          <w:rtl/>
        </w:rPr>
        <w:t xml:space="preserve">«پوکر کرالی» یک تورنمنت کازینوی زنده ۳۰ روزه است که توسط CreedRoomz برگزار می‌شود و از ۶ ژوئیه ۲۰۲۶ تا ۴ اوت ۲۰۲۶ ادامه دارد. این تورنمنت برای تمام بازیکنان واجد شرایط اپراتورهای همکار در منطقه ترکیه باز است.</w:t>
      </w:r>
    </w:p>
    <w:p>
      <w:pPr>
        <w:bidi/>
        <w:spacing w:after="120" w:before="300"/>
        <w:jc w:val="right"/>
      </w:pPr>
      <w:r>
        <w:rPr>
          <w:rFonts w:ascii="Vazirmatn" w:cs="Vazirmatn" w:eastAsia="Vazirmatn" w:hAnsi="Vazirmatn"/>
          <w:b/>
          <w:bCs/>
          <w:sz w:val="24"/>
          <w:szCs w:val="24"/>
          <w:rtl/>
        </w:rPr>
        <w:t xml:space="preserve">۲. مشارکت و شرایط واجد بودن</w:t>
      </w:r>
    </w:p>
    <w:p>
      <w:pPr>
        <w:pStyle w:val="ListParagraph"/>
        <w:numPr>
          <w:ilvl w:val="0"/>
          <w:numId w:val="1"/>
        </w:numPr>
        <w:bidi/>
        <w:spacing w:after="90"/>
        <w:jc w:val="right"/>
      </w:pPr>
      <w:r>
        <w:rPr>
          <w:rFonts w:ascii="Vazirmatn" w:cs="Vazirmatn" w:eastAsia="Vazirmatn" w:hAnsi="Vazirmatn"/>
          <w:sz w:val="21"/>
          <w:szCs w:val="21"/>
          <w:rtl/>
        </w:rPr>
        <w:t xml:space="preserve">تمام بازیکنان اپراتورهای همکار واجد شرایط، پس از ثبت یک شرط واجد شرایط، به‌طور خودکار وارد تورنمنت می‌شوند.</w:t>
      </w:r>
    </w:p>
    <w:p>
      <w:pPr>
        <w:pStyle w:val="ListParagraph"/>
        <w:numPr>
          <w:ilvl w:val="0"/>
          <w:numId w:val="1"/>
        </w:numPr>
        <w:bidi/>
        <w:spacing w:after="90"/>
        <w:jc w:val="right"/>
      </w:pPr>
      <w:r>
        <w:rPr>
          <w:rFonts w:ascii="Vazirmatn" w:cs="Vazirmatn" w:eastAsia="Vazirmatn" w:hAnsi="Vazirmatn"/>
          <w:sz w:val="21"/>
          <w:szCs w:val="21"/>
          <w:rtl/>
        </w:rPr>
        <w:t xml:space="preserve">بازی واجد شرایط: روسی پوکر (تکی)</w:t>
      </w:r>
    </w:p>
    <w:p>
      <w:pPr>
        <w:pStyle w:val="ListParagraph"/>
        <w:numPr>
          <w:ilvl w:val="0"/>
          <w:numId w:val="1"/>
        </w:numPr>
        <w:bidi/>
        <w:spacing w:after="90"/>
        <w:jc w:val="right"/>
      </w:pPr>
      <w:r>
        <w:rPr>
          <w:rFonts w:ascii="Vazirmatn" w:cs="Vazirmatn" w:eastAsia="Vazirmatn" w:hAnsi="Vazirmatn"/>
          <w:sz w:val="21"/>
          <w:szCs w:val="21"/>
          <w:rtl/>
        </w:rPr>
        <w:t xml:space="preserve">حداقل شرط لازم: 0.10 در هر دور.</w:t>
      </w:r>
    </w:p>
    <w:p>
      <w:pPr>
        <w:pStyle w:val="ListParagraph"/>
        <w:numPr>
          <w:ilvl w:val="0"/>
          <w:numId w:val="1"/>
        </w:numPr>
        <w:bidi/>
        <w:spacing w:after="90"/>
        <w:jc w:val="right"/>
      </w:pPr>
      <w:r>
        <w:rPr>
          <w:rFonts w:ascii="Vazirmatn" w:cs="Vazirmatn" w:eastAsia="Vazirmatn" w:hAnsi="Vazirmatn"/>
          <w:sz w:val="21"/>
          <w:szCs w:val="21"/>
          <w:rtl/>
        </w:rPr>
        <w:t xml:space="preserve">حداقل ضریب لازم: ۱.۳.</w:t>
      </w:r>
    </w:p>
    <w:p>
      <w:pPr>
        <w:pStyle w:val="ListParagraph"/>
        <w:numPr>
          <w:ilvl w:val="0"/>
          <w:numId w:val="1"/>
        </w:numPr>
        <w:bidi/>
        <w:spacing w:after="90"/>
        <w:jc w:val="right"/>
      </w:pPr>
      <w:r>
        <w:rPr>
          <w:rFonts w:ascii="Vazirmatn" w:cs="Vazirmatn" w:eastAsia="Vazirmatn" w:hAnsi="Vazirmatn"/>
          <w:sz w:val="21"/>
          <w:szCs w:val="21"/>
          <w:rtl/>
        </w:rPr>
        <w:t xml:space="preserve">سقف حداکثر دور: مجموعاً ۵,۴۰۰ دور برای هر بازیکن در طول کل تورنمنت.</w:t>
      </w:r>
    </w:p>
    <w:p>
      <w:pPr>
        <w:pStyle w:val="ListParagraph"/>
        <w:numPr>
          <w:ilvl w:val="0"/>
          <w:numId w:val="1"/>
        </w:numPr>
        <w:bidi/>
        <w:spacing w:after="90"/>
        <w:jc w:val="right"/>
      </w:pPr>
      <w:r>
        <w:rPr>
          <w:rFonts w:ascii="Vazirmatn" w:cs="Vazirmatn" w:eastAsia="Vazirmatn" w:hAnsi="Vazirmatn"/>
          <w:sz w:val="21"/>
          <w:szCs w:val="21"/>
          <w:rtl/>
        </w:rPr>
        <w:t xml:space="preserve">بازیکنان باید حداقل یک برد کسب کنند تا در جدول امتیازات ظاهر شوند.</w:t>
      </w:r>
    </w:p>
    <w:p>
      <w:pPr>
        <w:pStyle w:val="ListParagraph"/>
        <w:numPr>
          <w:ilvl w:val="0"/>
          <w:numId w:val="1"/>
        </w:numPr>
        <w:bidi/>
        <w:spacing w:after="90"/>
        <w:jc w:val="right"/>
      </w:pPr>
      <w:r>
        <w:rPr>
          <w:rFonts w:ascii="Vazirmatn" w:cs="Vazirmatn" w:eastAsia="Vazirmatn" w:hAnsi="Vazirmatn"/>
          <w:sz w:val="21"/>
          <w:szCs w:val="21"/>
          <w:rtl/>
        </w:rPr>
        <w:t xml:space="preserve">مشارکت منوط به داشتن قرارداد فعال اپراتور بازیکن با CreedRoomz برای دوره مربوط به تورنمنت است.</w:t>
      </w:r>
    </w:p>
    <w:p>
      <w:pPr>
        <w:bidi/>
        <w:spacing w:after="120" w:before="300"/>
        <w:jc w:val="right"/>
      </w:pPr>
      <w:r>
        <w:rPr>
          <w:rFonts w:ascii="Vazirmatn" w:cs="Vazirmatn" w:eastAsia="Vazirmatn" w:hAnsi="Vazirmatn"/>
          <w:b/>
          <w:bCs/>
          <w:sz w:val="24"/>
          <w:szCs w:val="24"/>
          <w:rtl/>
        </w:rPr>
        <w:t xml:space="preserve">۳. استخر جایزه و توزیع</w:t>
      </w:r>
    </w:p>
    <w:p>
      <w:pPr>
        <w:bidi/>
        <w:spacing w:after="120"/>
        <w:jc w:val="right"/>
      </w:pPr>
      <w:r>
        <w:rPr>
          <w:rFonts w:ascii="Vazirmatn" w:cs="Vazirmatn" w:eastAsia="Vazirmatn" w:hAnsi="Vazirmatn"/>
          <w:sz w:val="21"/>
          <w:szCs w:val="21"/>
          <w:rtl/>
        </w:rPr>
        <w:t xml:space="preserve">پس از پایان تورنمنت در تاریخ ۴ اوت ۲۰۲۶، یک استخر جایزه نقدی بین ۲۰۰ بازیکن برتر توزیع خواهد شد. جوایز بر اساس رتبه نهایی در جدول امتیازات اعطا می‌شوند.</w:t>
      </w:r>
    </w:p>
    <w:p>
      <w:pPr>
        <w:bidi/>
        <w:spacing w:after="120" w:before="300"/>
        <w:jc w:val="right"/>
      </w:pPr>
      <w:r>
        <w:rPr>
          <w:rFonts w:ascii="Vazirmatn" w:cs="Vazirmatn" w:eastAsia="Vazirmatn" w:hAnsi="Vazirmatn"/>
          <w:b/>
          <w:bCs/>
          <w:sz w:val="24"/>
          <w:szCs w:val="24"/>
          <w:rtl/>
        </w:rPr>
        <w:t xml:space="preserve">۴. شرایط عمومی</w:t>
      </w:r>
    </w:p>
    <w:p>
      <w:pPr>
        <w:pStyle w:val="ListParagraph"/>
        <w:numPr>
          <w:ilvl w:val="0"/>
          <w:numId w:val="1"/>
        </w:numPr>
        <w:bidi/>
        <w:spacing w:after="90"/>
        <w:jc w:val="right"/>
      </w:pPr>
      <w:r>
        <w:rPr>
          <w:rFonts w:ascii="Vazirmatn" w:cs="Vazirmatn" w:eastAsia="Vazirmatn" w:hAnsi="Vazirmatn"/>
          <w:sz w:val="21"/>
          <w:szCs w:val="21"/>
          <w:rtl/>
        </w:rPr>
        <w:t xml:space="preserve">این پروموشن منوط به موجود بودن است و ممکن است به صلاحدید CreedRoomz تغییر یا لغو شود.</w:t>
      </w:r>
    </w:p>
    <w:p>
      <w:pPr>
        <w:pStyle w:val="ListParagraph"/>
        <w:numPr>
          <w:ilvl w:val="0"/>
          <w:numId w:val="1"/>
        </w:numPr>
        <w:bidi/>
        <w:spacing w:after="90"/>
        <w:jc w:val="right"/>
      </w:pPr>
      <w:r>
        <w:rPr>
          <w:rFonts w:ascii="Vazirmatn" w:cs="Vazirmatn" w:eastAsia="Vazirmatn" w:hAnsi="Vazirmatn"/>
          <w:sz w:val="21"/>
          <w:szCs w:val="21"/>
          <w:rtl/>
        </w:rPr>
        <w:t xml:space="preserve">جوایز غیرقابل انتقال هستند و نمی‌توان آن‌ها را با جوایز دیگر یا معادل نقدی خارج از فرآیند استاندارد پرداخت مبادله کرد.</w:t>
      </w:r>
    </w:p>
    <w:p>
      <w:pPr>
        <w:pStyle w:val="ListParagraph"/>
        <w:numPr>
          <w:ilvl w:val="0"/>
          <w:numId w:val="1"/>
        </w:numPr>
        <w:bidi/>
        <w:spacing w:after="90"/>
        <w:jc w:val="right"/>
      </w:pPr>
      <w:r>
        <w:rPr>
          <w:rFonts w:ascii="Vazirmatn" w:cs="Vazirmatn" w:eastAsia="Vazirmatn" w:hAnsi="Vazirmatn"/>
          <w:sz w:val="21"/>
          <w:szCs w:val="21"/>
          <w:rtl/>
        </w:rPr>
        <w:t xml:space="preserve">CreedRoomz این حق را برای خود محفوظ می‌دارد که در صورت شناسایی فعالیت متقلبانه، تبانی یا نقض این شرایط، هر بازیکنی را رد صلاحیت کند یا جوایز او را باطل نماید.</w:t>
      </w:r>
    </w:p>
    <w:p>
      <w:pPr>
        <w:pStyle w:val="ListParagraph"/>
        <w:numPr>
          <w:ilvl w:val="0"/>
          <w:numId w:val="1"/>
        </w:numPr>
        <w:bidi/>
        <w:spacing w:after="90"/>
        <w:jc w:val="right"/>
      </w:pPr>
      <w:r>
        <w:rPr>
          <w:rFonts w:ascii="Vazirmatn" w:cs="Vazirmatn" w:eastAsia="Vazirmatn" w:hAnsi="Vazirmatn"/>
          <w:sz w:val="21"/>
          <w:szCs w:val="21"/>
          <w:rtl/>
        </w:rPr>
        <w:t xml:space="preserve">استفاده از نرم‌افزار خودکار، ربات یا هرگونه بازی برنامه‌ریزی‌شده اکیداً ممنوع است و منجر به رد صلاحیت فوری می‌شود.</w:t>
      </w:r>
    </w:p>
    <w:p>
      <w:pPr>
        <w:pStyle w:val="ListParagraph"/>
        <w:numPr>
          <w:ilvl w:val="0"/>
          <w:numId w:val="1"/>
        </w:numPr>
        <w:bidi/>
        <w:spacing w:after="90"/>
        <w:jc w:val="right"/>
      </w:pPr>
      <w:r>
        <w:rPr>
          <w:rFonts w:ascii="Vazirmatn" w:cs="Vazirmatn" w:eastAsia="Vazirmatn" w:hAnsi="Vazirmatn"/>
          <w:sz w:val="21"/>
          <w:szCs w:val="21"/>
          <w:rtl/>
        </w:rPr>
        <w:t xml:space="preserve">در صورت تساوی در جدول امتیازات، بازیکنی که زودتر به آن امتیاز رسیده باشد (بر اساس زمان ثبت دور واجد شرایط) رتبه بالاتری خواهد داشت.</w:t>
      </w:r>
    </w:p>
    <w:p>
      <w:pPr>
        <w:pStyle w:val="ListParagraph"/>
        <w:numPr>
          <w:ilvl w:val="0"/>
          <w:numId w:val="1"/>
        </w:numPr>
        <w:bidi/>
        <w:spacing w:after="90"/>
        <w:jc w:val="right"/>
      </w:pPr>
      <w:r>
        <w:rPr>
          <w:rFonts w:ascii="Vazirmatn" w:cs="Vazirmatn" w:eastAsia="Vazirmatn" w:hAnsi="Vazirmatn"/>
          <w:sz w:val="21"/>
          <w:szCs w:val="21"/>
          <w:rtl/>
        </w:rPr>
        <w:t xml:space="preserve">تصمیمات CreedRoomz در مورد رتبه‌بندی تورنمنت، واجد شرایط بودن برای جایزه و رد صلاحیت، قطعی و لازم‌الاجرا است.</w:t>
      </w:r>
    </w:p>
    <w:p>
      <w:pPr>
        <w:pStyle w:val="ListParagraph"/>
        <w:numPr>
          <w:ilvl w:val="0"/>
          <w:numId w:val="1"/>
        </w:numPr>
        <w:bidi/>
        <w:spacing w:after="90"/>
        <w:jc w:val="right"/>
      </w:pPr>
      <w:r>
        <w:rPr>
          <w:rFonts w:ascii="Vazirmatn" w:cs="Vazirmatn" w:eastAsia="Vazirmatn" w:hAnsi="Vazirmatn"/>
          <w:sz w:val="21"/>
          <w:szCs w:val="21"/>
          <w:rtl/>
        </w:rPr>
        <w:t xml:space="preserve">این پروموشن مطابق با الزامات نظارتی قابل اجرا در حوزه قضایی مربوطه است. اپراتورهای همکار مسئول اطمینان از رعایت قوانین محلی برای بازیکنان خود هستند.</w:t>
      </w:r>
    </w:p>
    <w:p>
      <w:pPr>
        <w:pStyle w:val="ListParagraph"/>
        <w:numPr>
          <w:ilvl w:val="0"/>
          <w:numId w:val="1"/>
        </w:numPr>
        <w:bidi/>
        <w:spacing w:after="90"/>
        <w:jc w:val="right"/>
      </w:pPr>
      <w:r>
        <w:rPr>
          <w:rFonts w:ascii="Vazirmatn" w:cs="Vazirmatn" w:eastAsia="Vazirmatn" w:hAnsi="Vazirmatn"/>
          <w:sz w:val="21"/>
          <w:szCs w:val="21"/>
          <w:rtl/>
        </w:rPr>
        <w:t xml:space="preserve">CreedRoomz تمام هزینه استخر جایزه این پروموشن را متقبل می‌شود.</w:t>
      </w:r>
    </w:p>
    <w:p>
      <w:pPr>
        <w:bidi/>
        <w:spacing w:after="120" w:before="300"/>
        <w:jc w:val="right"/>
      </w:pPr>
      <w:r>
        <w:rPr>
          <w:rFonts w:ascii="Vazirmatn" w:cs="Vazirmatn" w:eastAsia="Vazirmatn" w:hAnsi="Vazirmatn"/>
          <w:b/>
          <w:bCs/>
          <w:sz w:val="24"/>
          <w:szCs w:val="24"/>
          <w:rtl/>
        </w:rPr>
        <w:t xml:space="preserve">۵. پذیرش شرایط</w:t>
      </w:r>
    </w:p>
    <w:p>
      <w:pPr>
        <w:bidi/>
        <w:spacing w:after="120"/>
        <w:jc w:val="right"/>
      </w:pPr>
      <w:r>
        <w:rPr>
          <w:rFonts w:ascii="Vazirmatn" w:cs="Vazirmatn" w:eastAsia="Vazirmatn" w:hAnsi="Vazirmatn"/>
          <w:sz w:val="21"/>
          <w:szCs w:val="21"/>
          <w:rtl/>
        </w:rPr>
        <w:t xml:space="preserve">با شرکت در این تورنمنت، بازیکنان تأیید می‌کنند که این شرایط و ضوابط را به‌طور کامل مطالعه کرده، درک کرده و پذیرفته‌اند. ادامه مشارکت به‌منزله پذیرش کامل است.</w:t>
      </w:r>
    </w:p>
    <w:p>
      <w:pPr>
        <w:bidi/>
        <w:spacing w:before="300"/>
        <w:jc w:val="right"/>
      </w:pPr>
      <w:r>
        <w:rPr>
          <w:rFonts w:ascii="Vazirmatn" w:cs="Vazirmatn" w:eastAsia="Vazirmatn" w:hAnsi="Vazirmatn"/>
          <w:i/>
          <w:iCs/>
          <w:color w:val="888888"/>
          <w:sz w:val="18"/>
          <w:szCs w:val="18"/>
          <w:rtl/>
        </w:rPr>
        <w:t xml:space="preserve">© CreedRoomz — محرمانه. فقط برای توزیع میان همکاران.</w:t>
      </w:r>
    </w:p>
    <w:sectPr>
      <w:pgSz w:w="12240" w:h="15840" w:orient="portrait"/>
      <w:pgMar w:top="900" w:right="1350" w:bottom="900" w:left="13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2026-07-03T13:26:07.393Z</dcterms:created>
  <dcterms:modified xsi:type="dcterms:W3CDTF">2026-07-03T13:26:07.394Z</dcterms:modified>
</cp:coreProperties>
</file>

<file path=docProps/custom.xml><?xml version="1.0" encoding="utf-8"?>
<Properties xmlns="http://schemas.openxmlformats.org/officeDocument/2006/custom-properties" xmlns:vt="http://schemas.openxmlformats.org/officeDocument/2006/docPropsVTypes"/>
</file>